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bookmarkStart w:id="0" w:name="_GoBack"/>
      <w:bookmarkEnd w:id="0"/>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CE774B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21CC1A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F79F3C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079204D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00F51D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04B77FC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2F9AB3E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462878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0A05D30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BD23FA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1C2C01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 xml:space="preserve">7 mavzu. </w:t>
      </w:r>
      <w:r>
        <w:rPr>
          <w:rFonts w:ascii="Times New Roman" w:hAnsi="Times New Roman" w:eastAsia="LiberationSerif-Bold" w:cs="Times New Roman"/>
          <w:b/>
          <w:bCs/>
          <w:sz w:val="28"/>
          <w:szCs w:val="28"/>
        </w:rPr>
        <w:t>TEXNIK TAHLIL</w:t>
      </w:r>
    </w:p>
    <w:p w14:paraId="1E40E4B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D46F7D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t>7.1. Loyihalarni texnik tahlil qilishning</w:t>
      </w:r>
    </w:p>
    <w:p w14:paraId="655DE3D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vazifalari va tarkibi</w:t>
      </w:r>
    </w:p>
    <w:p w14:paraId="3DB9904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7AEFF80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Texnik tahlil asosiy texnik-iqtisodiy ko’rsatkichlar yordamida amalga oshiriladi. Jumladan ishlab chiqarish xarajatlari, mahsulotni sifati, mahalliy xom ashyoda mahsulot chiqarish, yangidan ishlab chiqrilgan mahsulot va uning eksport salohiyati kabi savollar va ko’rsatkichlar o’rganiladi.</w:t>
      </w:r>
    </w:p>
    <w:p w14:paraId="0534F44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Loyihaning marketing nuqtai nazardan ijobiy xulosasi olingach, uning texnik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tahlili amalga oshiriladi. Texnik tahlilda loyiha texnologiyasini ishlab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chiqaruvchilardan shu loyihani amalga oshrish uchun zarur bo’lgan tender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xujjatlariG’tijorat taklifi olinadi. Tijorat taklifi loyiha texnologiyasining har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mashina va asbob-uskunasi, ularning bahosi, texnik spetsfikatsiyasi, texnik-iqtisodiy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ko’rsatkichlari to’g’risidagi ma’lumotlarni o’z ichiga oladi. Loyihani amalga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oshirishda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ng samarali bo’lgan texnologiya tanlanadi. Agar loyiha chet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 valyutasi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hisobiga texnologiya bilan ta’minlanadigan bo’lsa, unda xalqaro ko’lamda shu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texnologiyani ishlab chiqaruvchilar o’rtasida tanlov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’lon qilinadi. Mutaxassislar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tilida bunday tanlov tender deb ataladi.</w:t>
      </w:r>
    </w:p>
    <w:p w14:paraId="283BAD4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Investitsiya loyihalarini texnik tahlil qilishning vazifasi loyiha maqsadi nuqtai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nazaridan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ng qulay bo’lgan texnologiyalar, loyihadan manfaat ko’rishi mumkin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bo’lgan aholi kontingenti, mahalliy sharoitlar, kapital, xom ashyo va ishchi kuchidan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foydalanish imkoniyatlari va ularning bahosi, bozor hajmi, shuningdek, loyihani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rejalashtirish hamda amalga oshirishning mavjud va potentsial imkoniyatlarini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aniqlash hisoblanadi.</w:t>
      </w:r>
    </w:p>
    <w:p w14:paraId="72D777D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Investitsiya loyihalari ustida ishlash jarayonida texnik tahlil birinchi navbatda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o’tkaziladi.</w:t>
      </w:r>
    </w:p>
    <w:p w14:paraId="39935EF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Texnik tahlilga quyidagilarni ko’rib chiqish va belgilash kiradi:</w:t>
      </w:r>
    </w:p>
    <w:p w14:paraId="5FCF328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 Texnik va texnologik jihatdan muqobil variantlar.</w:t>
      </w:r>
    </w:p>
    <w:p w14:paraId="1BE29D0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 Loyihani joylashtirish o’rni bo’yicha muqobil variantlar.</w:t>
      </w:r>
    </w:p>
    <w:p w14:paraId="5C4D2AC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Loyiha hajmi.</w:t>
      </w:r>
    </w:p>
    <w:p w14:paraId="1E7FE7A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 Loyihani amalga oshirish muddatlari.</w:t>
      </w:r>
    </w:p>
    <w:p w14:paraId="656D7BC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5) Xom ashyo, ishchi kuchi va boshqa resurslardan foydalanish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imkoniyatlari va ularning etarliligini.</w:t>
      </w:r>
    </w:p>
    <w:p w14:paraId="2D3F595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6) Loyiha mahsuloti uchun bozor sig’imi (hajmi).</w:t>
      </w:r>
    </w:p>
    <w:p w14:paraId="292BFE8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7) Ko’zda tutilmagan omillarni hisobga olgan holda loyiha xarajatlari.</w:t>
      </w:r>
    </w:p>
    <w:p w14:paraId="3F25E36D">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0263397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7.2. Loyihalarni ishlab chiqishning texnik muammolari.</w:t>
      </w:r>
    </w:p>
    <w:p w14:paraId="063F20A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Mulk shakli. Loyiha ko’lami</w:t>
      </w:r>
    </w:p>
    <w:p w14:paraId="4F0FD00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3242A14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Turli loyihalarda uchraydigan texnik muammolar o’ziga xos bo’ladi. Ammo ayrim muammolar (barcha loyihalarga bo’lmasada) ko’pchilik loyihalarga xos bo’ladi va ularni identifikatsiya qilish mumkin. Bu muammolar quyidagi kategoriyalarga bo’linadilar: mulk shakli; loyiha ko’lami; amalga oshirish muddatlari hamda texnlogiyalarni tanlash va to’plash.</w:t>
      </w:r>
    </w:p>
    <w:p w14:paraId="4489066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Loyihaning texnik rejasi, ekspluatatsiyasi va menejmenti loyihani kim amalga oshirishiga bog’liq. Qaysi loyihalarni davlat sektori, qaysisini esa xususiy sektor amalga oshirishi kerakliligini aniqlash hozirda ancha muammo. Chunki xususiy investorlar infratuzilmalar va kommunal xizmat singari an’anaviy davlat sektorlariga ham kirib borishayapti. Loyiha qaysi sohaga (tarmoqqa) tegishli ekanligi ham mulk shaklini tanlashda muhim rol o’ynaydi. </w:t>
      </w:r>
      <w:r>
        <w:rPr>
          <w:rFonts w:ascii="Times New Roman" w:hAnsi="Times New Roman" w:eastAsia="LiberationSerif-Bold" w:cs="Times New Roman"/>
          <w:sz w:val="28"/>
          <w:szCs w:val="28"/>
          <w:lang w:val="en-US"/>
        </w:rPr>
        <w:t>Mulk shakli masalasi shu bilan birga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loyihaning qanday texnik rejasi tanlanishini belgilab beradi.</w:t>
      </w:r>
    </w:p>
    <w:p w14:paraId="326B8BE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Masalan, bir hududni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lektr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nergiyasi bilan ta’minlash loyihasi davlat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sektorida bajarilishi tanlansa, u holda yirikroq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lektrostantsiya qurilishi tanlanadi.</w:t>
      </w:r>
    </w:p>
    <w:p w14:paraId="48ABC04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Xususiy sektorda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sa bir necha kichik, o’zaro raqobat qiluvchi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lektrostantsiyalar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qurilishi tanlanishi mumkin. Yirik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lektrostantsiya qurish qarori bunday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investitsiyalarda tavakkalchilik darajasi yuqori bo’lgani uchun xususiy investorlar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ishtirokini inkor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tadi.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sababli xususiy investorlarni loyiha ustida ishlashga jalb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qilish qarori qanday texnologiyalar tanlanishini belgilab beradi hamda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texnologiyalarni oldindan tanlash loyiha davlat sektoridagina bajarilishi mumkin,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degan xulosaga olib kelishi mumkin.</w:t>
      </w:r>
    </w:p>
    <w:p w14:paraId="127DD06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 ko’lami va masshtabi deyarli har doim loyihani ishlab chiqish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jarayonida aniqlanadigan o’zgaruvchan miqdorlar bo’lib kelgan. Qishloq xo’jaligi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yoki sanoat ishlab chiqarish loyihalari ko’lami loyiha mahsulotiga bo’lgan talabga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ko’ra belgilanadi. Boshqa hollarda loyiha ko’lami avvalo uni amalga oshiruvchi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muassasalarning yoki ishlab chiqaruvchilarning imkoniyatlariga bog’liq bo’ladi.</w:t>
      </w:r>
    </w:p>
    <w:p w14:paraId="2C25646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Ayrim loyihalar ko’lami foydalanish mo’ljallanayotgan hududiy va tabiiy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resurslarning cheklanganligi bilan belgilanadi. Lekin har qanday sharoitda ham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rejalashtiruvchi idoralarning mavjud sharoitni hisobga olmasdan katta ko’lamlarni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afzal ko’rishlarini cheklash kerak. Tajribadan o’tgan texnologik echimlar yo’q bo’lsa,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bosqichma-bosqich yondashuvni tanlashga majbur bo’linadi. Bunday yondashuv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tadqiqotlar va adaptatsiya ishlaridan boshlanadi.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undan so’ng loyihaning tajriba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varianti yaratiladi va u to’plangan tajriba bilan to’ldira borilib, to’liq loyihaga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keltiriladi. Moliyaviy jihatlar, masalan, loyiha amalga oshirilgandan so’ng uni</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kspluatatsiya qilishga xarajatlar qilish zarurati ham loyiha ko’lamini belgilashi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mumkin.</w:t>
      </w:r>
    </w:p>
    <w:p w14:paraId="1CEFD29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 ko’lami masalasiga tahliliy yondashish ham mumkin. Oddiy qilib</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aytganda loyiha uchun sof keltirilgan qiymat (SKQqNPV) maksimal bo’lishini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ta’minlaydigan ko’lam optimal bo’ladi. Bunday tahlil o’tkazilishi uchun loyiha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nechta alohida komponentlarga bo’lib tashlanadi, so’ngra bu komponentlar (o’z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xarajatlari va daromadlari bilan birga) texnologik jihatdan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ng kichik bo’lgan «bazis»</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loyihaga birlashtiriladi. Bundan keyin bazis loyiha hamda komponentlarning har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kombinatsiyasi uchun NPV (SKQ) hisoblanadi. Oxirgi qo’shilgan komponent uchun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daromadning cheklangan ichki stavkasi diskont stavkasiga teng bo’lmagunga qadar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loyihaning izlanayotgan ko’lami kattalashtirib borilaveradi. Ayni shu lahzada NPV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butun loyiha uchun musbat bo’ladi va maksimal darajaga etadi. Loyiha bundan keyin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ham kengaytirilganda qo’shilgan komponentlar uchun daromadning cheklangan ichki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stavkasi diskont stavkasidan past, NPV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manfiy bo’ladi.</w:t>
      </w:r>
    </w:p>
    <w:p w14:paraId="4510025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Iqtisodiyotni qayta qurish sharoitida ko’lamga nisbatan bunday yondashuv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yirik korxona tarkibida alohida bo’linmalarni ajratish qanchalik maqsadga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muvofiqligini aniqlash uchun qo’llanilishi mumkin. Ko’pgina rivojlantirish loyihalari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turli sektorlarga yoki faoliyat turlariga tegishli komponentlardan tashkil topadi.</w:t>
      </w:r>
    </w:p>
    <w:p w14:paraId="45EFA8DB">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Masalan, qishloq xo’jaligini rivojlantirish loyihasi sug’orish tizimi va drenajlar,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qishloq xo’jaligida qo’llaniladigan turli ishlab chiqarish vositalari ishlab chiqarish,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qishloq yo’llari va ijtimoiy infratuzilmaning klublar, suv ta’minoti tizimi, maktab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tibbiyot muassasalari kabi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lementlarini o’z ichiga olishi mumkin.</w:t>
      </w:r>
    </w:p>
    <w:p w14:paraId="0014466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Shu tufayli loyihaning turli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lementlari o’rtasidagi o’zaro munosabatlarni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aniqlash birinchi navbatdagi vazifa hisoblanadi. Maktablar, klublar va tibbiyot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muassasalari bir vaziyatda qishloq xo’jaligi ishlab chiqarishi bilan chambarchas</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bog’langan bo’lsa, boshqa vaziyatda hech qanday aloqaga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 bo’lmasligi mumkin.</w:t>
      </w:r>
    </w:p>
    <w:p w14:paraId="2464679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Agar loyiha komponentlari o’zaro chambarchas bog’langan bo’lsa, u holda iqtisodiy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tahlilda daromadlar va xarajatlarni komponentlar bo’yicha taqsimlash hech qanday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mazmunga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ga bo’lmaydi.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tufayli turli komponentlar bo’yicha daromad</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stavkasini aniqlash kerak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mas. Bunday holda dastlab butun loyiha uchun NPV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daromadning ichki stavkasini aniqlash, so’ngra loyihaning bir yoki bir necha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komponentini o’zgartirib, aytilgan ko’rsatkichlarni oshirish mumkin yoki mumkin</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masligini aniqlash kerak.</w:t>
      </w:r>
    </w:p>
    <w:p w14:paraId="4B19A2E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Agar loyihaning alohida komponentlari bir-biri bilan deyarli bog’lanmagan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bo’lsa, ular alohida-alohida tahlil qilinishi kerak.</w:t>
      </w:r>
    </w:p>
    <w:p w14:paraId="076DE0B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Loyihaning turli komponentlari o’zaro bir-birining o’rnini bosadigan, bir-birini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to’ldiradigan yoki mustaqil komponentlar bo’lishi mumkin.</w:t>
      </w:r>
    </w:p>
    <w:p w14:paraId="2503FA8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Agar loyiha komponentlarini birgalikda amalga oshirishdan olinadigan manfaat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ularning har biri alohida amalga oshirilganda olinadigan manfaatlar yig’indisidan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kam bo’lsa, bunday komponentlar o’zaro bir-birining o’rnini bosadigan komponentlar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hisoblanadi.</w:t>
      </w:r>
    </w:p>
    <w:p w14:paraId="134B6C6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Agar loyihaning alohida komponentlaridan manfaat ko’rilsa, ular o’zaro birbirini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to’ldiruvchi komponentlar deyiladi. Agar butun loyihadan ko’rilgan manfaat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alohida komponentlardan ko’rilgan manfaatlar yig’indisiga teng bo’lsa, 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komponentlar mustaqil komponentlar deyiladi.</w:t>
      </w:r>
    </w:p>
    <w:p w14:paraId="779A4DB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 komponentlari, shuningdek, xarajatlarga ko’ra ham o’zaro bir-birining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o’rnini bosadigan, o’rnini to’ldiradigan va mustaqil komponentlar bo’lishi mumkin.</w:t>
      </w:r>
    </w:p>
    <w:p w14:paraId="53ADC87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Bir-birining o’rnini bosuvchi komponentlar uchun umumiy xarajatlar ularni alohida-alohida amalga oshirish xarajatlari yig’indisidan katta bo’ladi. Bir-birini to’ldiruvchi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komponentlar uchun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sa umumiy xarajatlar ularni alohida-alohida amalga oshirish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xarajatlari yig’indisidan kichik bo’ladi.</w:t>
      </w:r>
    </w:p>
    <w:p w14:paraId="216CB523">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rPr>
        <w:t>Loyihalarning komponentlari bo’yicha turlanishi</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93"/>
        <w:gridCol w:w="2551"/>
        <w:gridCol w:w="2534"/>
        <w:gridCol w:w="2393"/>
      </w:tblGrid>
      <w:tr w14:paraId="574934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093" w:type="dxa"/>
            <w:vAlign w:val="center"/>
          </w:tcPr>
          <w:p w14:paraId="1D717562">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Loyiha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komponentlari</w:t>
            </w:r>
          </w:p>
        </w:tc>
        <w:tc>
          <w:tcPr>
            <w:tcW w:w="2551" w:type="dxa"/>
            <w:vAlign w:val="center"/>
          </w:tcPr>
          <w:p w14:paraId="5885B77B">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Xarajatlarga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rPr>
              <w:t>ko’ra mustaqil</w:t>
            </w:r>
          </w:p>
        </w:tc>
        <w:tc>
          <w:tcPr>
            <w:tcW w:w="2534" w:type="dxa"/>
            <w:vAlign w:val="center"/>
          </w:tcPr>
          <w:p w14:paraId="7756AE00">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en-US"/>
              </w:rPr>
              <w:t>Xarajatlarga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ko’ra bir-birini</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to’ldiruvchi</w:t>
            </w:r>
          </w:p>
        </w:tc>
        <w:tc>
          <w:tcPr>
            <w:tcW w:w="2393" w:type="dxa"/>
            <w:vAlign w:val="center"/>
          </w:tcPr>
          <w:p w14:paraId="65588D60">
            <w:pPr>
              <w:autoSpaceDE w:val="0"/>
              <w:autoSpaceDN w:val="0"/>
              <w:adjustRightInd w:val="0"/>
              <w:spacing w:after="0" w:line="240" w:lineRule="auto"/>
              <w:jc w:val="center"/>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Xarajatlarga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ko’ra bir-birining</w:t>
            </w:r>
          </w:p>
          <w:p w14:paraId="021E7CF8">
            <w:pPr>
              <w:autoSpaceDE w:val="0"/>
              <w:autoSpaceDN w:val="0"/>
              <w:adjustRightInd w:val="0"/>
              <w:spacing w:after="0" w:line="240" w:lineRule="auto"/>
              <w:jc w:val="center"/>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o’rnini bosuvchi</w:t>
            </w:r>
          </w:p>
        </w:tc>
      </w:tr>
      <w:tr w14:paraId="65366C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093" w:type="dxa"/>
            <w:vAlign w:val="center"/>
          </w:tcPr>
          <w:p w14:paraId="7483ACF2">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Daromadlarga ko’ra mustaqil</w:t>
            </w:r>
          </w:p>
        </w:tc>
        <w:tc>
          <w:tcPr>
            <w:tcW w:w="2551" w:type="dxa"/>
            <w:vAlign w:val="center"/>
          </w:tcPr>
          <w:p w14:paraId="70E928C7">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 mustaqil NPVlar yig’indisiga teng</w:t>
            </w:r>
          </w:p>
        </w:tc>
        <w:tc>
          <w:tcPr>
            <w:tcW w:w="2534" w:type="dxa"/>
            <w:vAlign w:val="center"/>
          </w:tcPr>
          <w:p w14:paraId="581B906C">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 mustaqil NPV lar yig’indisidan katta</w:t>
            </w:r>
          </w:p>
        </w:tc>
        <w:tc>
          <w:tcPr>
            <w:tcW w:w="2393" w:type="dxa"/>
            <w:vAlign w:val="center"/>
          </w:tcPr>
          <w:p w14:paraId="11CD62A7">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 mustaqil NPV lar yig’indisidan kichik</w:t>
            </w:r>
          </w:p>
        </w:tc>
      </w:tr>
      <w:tr w14:paraId="088639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093" w:type="dxa"/>
            <w:vAlign w:val="center"/>
          </w:tcPr>
          <w:p w14:paraId="47864A7A">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en-US"/>
              </w:rPr>
              <w:t>Daromadlarga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ko’ra bir-birini</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to’ldiruvchi</w:t>
            </w:r>
          </w:p>
        </w:tc>
        <w:tc>
          <w:tcPr>
            <w:tcW w:w="2551" w:type="dxa"/>
            <w:vAlign w:val="center"/>
          </w:tcPr>
          <w:p w14:paraId="68B716B0">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 mustaqil NPV lar yig’indisidan katta</w:t>
            </w:r>
          </w:p>
        </w:tc>
        <w:tc>
          <w:tcPr>
            <w:tcW w:w="2534" w:type="dxa"/>
            <w:vAlign w:val="center"/>
          </w:tcPr>
          <w:p w14:paraId="7949F94A">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w:t>
            </w:r>
          </w:p>
          <w:p w14:paraId="6DC63ABF">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alohida NPV lar</w:t>
            </w:r>
          </w:p>
          <w:p w14:paraId="5EB00FEF">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yig’indisidan</w:t>
            </w:r>
          </w:p>
          <w:p w14:paraId="35BB8792">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katta</w:t>
            </w:r>
          </w:p>
        </w:tc>
        <w:tc>
          <w:tcPr>
            <w:tcW w:w="2393" w:type="dxa"/>
            <w:vAlign w:val="center"/>
          </w:tcPr>
          <w:p w14:paraId="389EFA1F">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en-US"/>
              </w:rPr>
              <w:t>Aniqlanmagan</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natija. Birma-bir</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solishtirib</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ko’rish talab</w:t>
            </w:r>
            <w:r>
              <w:rPr>
                <w:rFonts w:ascii="Times New Roman" w:hAnsi="Times New Roman" w:eastAsia="LiberationSerif-Bold" w:cs="Times New Roman"/>
                <w:sz w:val="24"/>
                <w:szCs w:val="24"/>
                <w:lang w:val="uz-Cyrl-UZ"/>
              </w:rPr>
              <w:t xml:space="preserve"> e</w:t>
            </w:r>
            <w:r>
              <w:rPr>
                <w:rFonts w:ascii="Times New Roman" w:hAnsi="Times New Roman" w:eastAsia="LiberationSerif-Bold" w:cs="Times New Roman"/>
                <w:sz w:val="24"/>
                <w:szCs w:val="24"/>
                <w:lang w:val="en-US"/>
              </w:rPr>
              <w:t>tiladi</w:t>
            </w:r>
          </w:p>
        </w:tc>
      </w:tr>
      <w:tr w14:paraId="4E6013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093" w:type="dxa"/>
            <w:vAlign w:val="center"/>
          </w:tcPr>
          <w:p w14:paraId="1448B681">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en-US"/>
              </w:rPr>
              <w:t>Daromadlarga</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ko’ra bir-birining</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o’rnini</w:t>
            </w:r>
            <w:r>
              <w:rPr>
                <w:rFonts w:ascii="Times New Roman" w:hAnsi="Times New Roman" w:eastAsia="LiberationSerif-Bold" w:cs="Times New Roman"/>
                <w:sz w:val="24"/>
                <w:szCs w:val="24"/>
                <w:lang w:val="uz-Cyrl-UZ"/>
              </w:rPr>
              <w:t xml:space="preserve"> </w:t>
            </w:r>
            <w:r>
              <w:rPr>
                <w:rFonts w:ascii="Times New Roman" w:hAnsi="Times New Roman" w:eastAsia="LiberationSerif-Bold" w:cs="Times New Roman"/>
                <w:sz w:val="24"/>
                <w:szCs w:val="24"/>
                <w:lang w:val="en-US"/>
              </w:rPr>
              <w:t>bosuvchi</w:t>
            </w:r>
          </w:p>
        </w:tc>
        <w:tc>
          <w:tcPr>
            <w:tcW w:w="2551" w:type="dxa"/>
            <w:vAlign w:val="center"/>
          </w:tcPr>
          <w:p w14:paraId="5B0CDDA2">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 alohida NPV lar yig’indisidan kichik</w:t>
            </w:r>
          </w:p>
        </w:tc>
        <w:tc>
          <w:tcPr>
            <w:tcW w:w="2534" w:type="dxa"/>
            <w:vAlign w:val="center"/>
          </w:tcPr>
          <w:p w14:paraId="58952490">
            <w:pPr>
              <w:autoSpaceDE w:val="0"/>
              <w:autoSpaceDN w:val="0"/>
              <w:adjustRightInd w:val="0"/>
              <w:spacing w:after="0" w:line="240" w:lineRule="auto"/>
              <w:jc w:val="center"/>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Aniqlanmagan</w:t>
            </w:r>
          </w:p>
          <w:p w14:paraId="6E93DB3D">
            <w:pPr>
              <w:autoSpaceDE w:val="0"/>
              <w:autoSpaceDN w:val="0"/>
              <w:adjustRightInd w:val="0"/>
              <w:spacing w:after="0" w:line="240" w:lineRule="auto"/>
              <w:jc w:val="center"/>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natija. Birma-</w:t>
            </w:r>
          </w:p>
          <w:p w14:paraId="365A6554">
            <w:pPr>
              <w:autoSpaceDE w:val="0"/>
              <w:autoSpaceDN w:val="0"/>
              <w:adjustRightInd w:val="0"/>
              <w:spacing w:after="0" w:line="240" w:lineRule="auto"/>
              <w:jc w:val="center"/>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bir solishtirib</w:t>
            </w:r>
          </w:p>
          <w:p w14:paraId="6D13F117">
            <w:pPr>
              <w:autoSpaceDE w:val="0"/>
              <w:autoSpaceDN w:val="0"/>
              <w:adjustRightInd w:val="0"/>
              <w:spacing w:after="0" w:line="240" w:lineRule="auto"/>
              <w:jc w:val="center"/>
              <w:rPr>
                <w:rFonts w:ascii="Times New Roman" w:hAnsi="Times New Roman" w:eastAsia="LiberationSerif-Bold" w:cs="Times New Roman"/>
                <w:sz w:val="24"/>
                <w:szCs w:val="24"/>
                <w:lang w:val="en-US"/>
              </w:rPr>
            </w:pPr>
            <w:r>
              <w:rPr>
                <w:rFonts w:ascii="Times New Roman" w:hAnsi="Times New Roman" w:eastAsia="LiberationSerif-Bold" w:cs="Times New Roman"/>
                <w:sz w:val="24"/>
                <w:szCs w:val="24"/>
                <w:lang w:val="en-US"/>
              </w:rPr>
              <w:t>ko’rish talab</w:t>
            </w:r>
          </w:p>
          <w:p w14:paraId="1ECA7FC0">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e</w:t>
            </w:r>
            <w:r>
              <w:rPr>
                <w:rFonts w:ascii="Times New Roman" w:hAnsi="Times New Roman" w:eastAsia="LiberationSerif-Bold" w:cs="Times New Roman"/>
                <w:sz w:val="24"/>
                <w:szCs w:val="24"/>
              </w:rPr>
              <w:t>tiladi</w:t>
            </w:r>
          </w:p>
        </w:tc>
        <w:tc>
          <w:tcPr>
            <w:tcW w:w="2393" w:type="dxa"/>
            <w:vAlign w:val="center"/>
          </w:tcPr>
          <w:p w14:paraId="32547D51">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Umumiy NPV</w:t>
            </w:r>
          </w:p>
          <w:p w14:paraId="06BDB3FD">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alohida NPV lar</w:t>
            </w:r>
          </w:p>
          <w:p w14:paraId="0E164611">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lang w:val="uz-Cyrl-UZ"/>
              </w:rPr>
              <w:t>yig’indisidan</w:t>
            </w:r>
          </w:p>
          <w:p w14:paraId="091CFC52">
            <w:pPr>
              <w:autoSpaceDE w:val="0"/>
              <w:autoSpaceDN w:val="0"/>
              <w:adjustRightInd w:val="0"/>
              <w:spacing w:after="0" w:line="240" w:lineRule="auto"/>
              <w:jc w:val="center"/>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w:t>kichik</w:t>
            </w:r>
          </w:p>
        </w:tc>
      </w:tr>
    </w:tbl>
    <w:p w14:paraId="580C1A69">
      <w:pPr>
        <w:autoSpaceDE w:val="0"/>
        <w:autoSpaceDN w:val="0"/>
        <w:adjustRightInd w:val="0"/>
        <w:spacing w:after="0" w:line="240" w:lineRule="auto"/>
        <w:jc w:val="both"/>
        <w:rPr>
          <w:rFonts w:ascii="Times New Roman" w:hAnsi="Times New Roman" w:eastAsia="LiberationSerif-Bold" w:cs="Times New Roman"/>
          <w:sz w:val="24"/>
          <w:szCs w:val="24"/>
          <w:lang w:val="uz-Cyrl-UZ"/>
        </w:rPr>
      </w:pPr>
    </w:p>
    <w:p w14:paraId="5D62CCC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Ko’pgina ko’p maqsadli loyihalar xarajatlarga ko’ra bir-birini to’ldiruvchi, daromadlarga ko’ra esa bir-birini o’rnini bosuvchi hisoblanadi. Masalan, sug’orish va gidroelektrostantsiya uchun umumiy to’g’on qurish alohida-alohida tug’on qurishga nisbatan kam xarajat talab etadi. Lekin elektr energiyasi olish uchun qishda oqizilgan suv sug’orish uchun foydasiz bo’lsa, yozda sug’orish uchun elektr energiyasi olish ehtiyojlaridan ko’proq suv oqiziladi. Suv oqizish miqdori GES talablari uchun ham qishloq xo’jaligi talabi uchun ham zarur bo’lgan optimal miqdordan ko’p bo’ladi.</w:t>
      </w:r>
    </w:p>
    <w:p w14:paraId="7C9522FA">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Oqibatda alohida loyihadagiga nisbatan kamroq qishloq xo’jaligi mahsuloti hamda elektr energiyasi ishlab chiqarilishi mumkin. Bunday holatda iqtisodiy tahlil chog’ida «loyihasiz» vaziyat sifatida tegishli inshootlarni alohida qurish varianti ko’rib chiqilishi kerak.</w:t>
      </w:r>
    </w:p>
    <w:p w14:paraId="585089B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Alohida loyihalarni iqtisodiy baholash asosi sifatida qo’llanilishi loyihaning alohida komponentlarining turli kombinatsiyalari uchun quyidagi natijalarga olib keladi.</w:t>
      </w:r>
    </w:p>
    <w:p w14:paraId="7B2D325F">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02EC14E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7.3. Loyihalarni joylashtirish o’rni</w:t>
      </w:r>
    </w:p>
    <w:p w14:paraId="37C6EE6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BA3529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Loyihaning joylashish o’rnini belgilovchi omillar turli-tuman bo’lib, bu omillarni ham tahlil qilish mumkin. Loyiha uchun NPVni maksimallashtiradigan joy eng yaxshi hisoblanadi. Ko’p hollarda joylashish o’rnini tanlash ham loyiha ko’lamini belgilashdagi kabi bir qator jihatlarni hisobga olishni talab etadi. Masalan, sanoat korxonasi yoki xom ashyo bazasi yaqiniga yoki boshlang’ich energiya manbai yaqiniga yoki mahsulot bozori yoniga yoki bo’lmasa tegishli infratuzilmaga yaqin joyda qurilishi mumkin. Har bir variant o’z afzalliklari va kamchiliklariga ega.</w:t>
      </w:r>
    </w:p>
    <w:p w14:paraId="78F22C9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Maksimal NPVni ta’minlaydigan joylashish o’rni tanlanishi uchun bu afzalliklar va kamchiliklar baholanishi hamda taqqoslanishi mumkin.</w:t>
      </w:r>
    </w:p>
    <w:p w14:paraId="6980574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Loyihaga kapital qo’yilmalar muddatlari masalasi ham loyihani tayyorlash bosqichida alohida ko’rib chiqilishi lozim. Kapital qo’yilmalar muddatlari bilan bog’liq muammolarning ahamiyati loyiha ko’lami, joylashish o’rni bilan bog’liq muammolarga nisbatan kam bo’lib ko’rinishi mumkin. Loyihalar ba’zida investitsiyalash muddatlarining maqbul (optimal) ekanligi to’liq asoslanmasdan qabul qilinadi. Loyiha iqtisodiy va moliyaviy jihatdan uning samarali bo’lishini ta’minlash uchun, uning mahsulotiga bo’lgan talab, texnologiyalar holati, qo’shimcha kapital kiritish imkoniyatlari etarlicha rivojlanmaganligi tufayli vaqtidan erta bo’lishi mumkin.</w:t>
      </w:r>
    </w:p>
    <w:p w14:paraId="7AA108B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Boshqa tomondan loyihaning iqtisodiyotga hissasi va undan kelgan manfaat ancha yuqori bo’lishi, muddatidan kechikishi ham mumkin. Ekspluatatsiyaning birinchi yilidagi daromad darajasi, loyihaning alohida komponentlaridan olinadigan cheklangan daromad singari, loyihalarni amalga oshirishning maqbul muddatlarini baholash mezoni hisoblanadi. Agar shu yilgi daromad stavkasi diskont stavkasidan past bo’lsa, u holda loyiha muddatini kechiktirish sof keltirilgan qiymatning (NPV) ko’payishiga olib keladi. Optimal (maksimal NPVni ta’minlovchi) muddatda ekspluatatsiyaning birinchi yili uchun daromad stavkasi diskont stavkasiga teng bo’ladi.</w:t>
      </w:r>
    </w:p>
    <w:p w14:paraId="06C75F6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uz-Cyrl-UZ"/>
        </w:rPr>
        <w:t xml:space="preserve">Ekspluatatsiyaning birinchi yilida olingan daromad mezoni birinchi yilda olingan manfaat etarli daromadlilik darajasini ta’minlay olish-olmasligini aniqlash orqali loyiha muddatlari to’g’ri tanlanganligini tekshirish imkonini beradi. </w:t>
      </w:r>
      <w:r>
        <w:rPr>
          <w:rFonts w:ascii="Times New Roman" w:hAnsi="Times New Roman" w:eastAsia="LiberationSerif-Bold" w:cs="Times New Roman"/>
          <w:sz w:val="28"/>
          <w:szCs w:val="28"/>
          <w:lang w:val="en-US"/>
        </w:rPr>
        <w:t>Bunda</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kspluatatsiyaning birinchi yilida olingan sof daromad loyihaga qilingan (qurilish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davrida yo’qotilgan % daromadini qo’shgan holda) kapital xarajatlar bilan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solishtiriladi.</w:t>
      </w:r>
    </w:p>
    <w:p w14:paraId="751CD1E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Agar daromadlarning xarajatlarga nisbati kapital qo’yilmalarning muqobil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qiymatidan yuqori bo’lsa, loyiha muddatidan kechikkan hisoblanadi. Bu mezonni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qo’llash NPVni maksimallashtirish loyiha rejasi bilan ta’minlanganligini aniqlash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uchun keng ko’lamli tekshiruv boshlashda birinchi qadam hisoblanadi. Sof daromad</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(manfaat) birinchi bor kapital qo’yilmalar rentabelliligi ta’minlangan yil NPV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ko’rsatish birinchi bor musbat bo’lgan yilga mos keladi.</w:t>
      </w:r>
    </w:p>
    <w:p w14:paraId="6A202C76">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13C655B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7.4. Xarajatlardagi o’zgarishlar</w:t>
      </w:r>
    </w:p>
    <w:p w14:paraId="6044F66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5D7A43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Xarajatlarga va loyihani amalga oshirish grafigiga real baho berish uchun muhandislik va loyiha-konstruktorlik ishlanmalarining aniq bo’lishi talab etiladi.</w:t>
      </w:r>
    </w:p>
    <w:p w14:paraId="3BC699DA">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Noto’g’ri berilgan baho iqtisodiy va moliyaviy tahlilda ham noto’g’ri echimlarga olib kelishi mumkin.</w:t>
      </w:r>
    </w:p>
    <w:p w14:paraId="1912C0A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Xarajatlar smetasi loyiha turi va mavjud uslublarning imkoniyatidan kelib chiqib mumkin qadar maksimal aniqlikda baholangan bo’lishi kerak. Shuningdek, bunday smeta loyihani moliyalashtirish boshlanishidan ancha oldin tayyor bo’lishi kerak. Loyiha turlariga qarab muhandislik va loyiha-konstruktorlik ishlari hajmi turlicha bo’ladi, masalan, tekis joyda yo’l qurish loyihasi hamda tog’li joyda yo’l qurish loyihasida. Agar loyihada standart uskunalarni bir necha bor xarid qilish yoki an’anaviy ishlarni bajarish ko’zda tutilgan bo’lsa, muhandislik va loyiha-konstruktorlik ishlariga ketadigan xarajatlar minimal bo’ladi.</w:t>
      </w:r>
    </w:p>
    <w:p w14:paraId="551F78FD">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Loyihaning har bir komponenti uchun alohida xarajatlar smetasi tuziladi.</w:t>
      </w:r>
    </w:p>
    <w:p w14:paraId="2A15177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Uskunalar sotib olish xarajatlari smetasi uskunalar turi, soni va har birining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bahosidan kelib chiqib tuziladi. Mamlakatda bajarilgan o’xshash loyihalar tajribasi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uskunalar bahosini aniqlashda mo’ljal hisoblanadi. Agar bu to’g’rida axborot etarli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bo’lmasa (yoki o’xshash loyihalar yaqin vaqt ichida amalga oshirilmagan bo’lsa),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xarajatlar smetasini tuzishda ixtisoslashgan firmalar, shaxslar yoki pudratchilar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xizmatidan foydalaniladi.</w:t>
      </w:r>
    </w:p>
    <w:p w14:paraId="3445AF3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Chet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l investitsiyalari ishtirokidagi loyihalar uchun xarajatlar smetalari ham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milliy, ham xorijiy valyutada tuziladi. Qurilish davrida hisoblangan foizlar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qo’shimcha aylanma kapitalga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htiyoj ham xarajatlar smetasida hisobga olinishi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kerak. Xarajatlar smetasi moliyaviy (iqtisodiy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mas) ko’rinishida pul xarajatlarini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hisobga olgan holda tuziladi. Mahalliy soliqlar va importga boj to’lovlari smetaga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kiritilishi, lekin alohida ko’rsatilishi lozim. </w:t>
      </w:r>
      <w:r>
        <w:rPr>
          <w:rFonts w:ascii="Times New Roman" w:hAnsi="Times New Roman" w:eastAsia="LiberationSerif-Bold" w:cs="Times New Roman"/>
          <w:sz w:val="28"/>
          <w:szCs w:val="28"/>
          <w:lang w:val="uz-Cyrl-UZ"/>
        </w:rPr>
        <w:t>Ch</w:t>
      </w:r>
      <w:r>
        <w:rPr>
          <w:rFonts w:ascii="Times New Roman" w:hAnsi="Times New Roman" w:eastAsia="LiberationSerif-Bold" w:cs="Times New Roman"/>
          <w:sz w:val="28"/>
          <w:szCs w:val="28"/>
          <w:lang w:val="en-US"/>
        </w:rPr>
        <w:t>unki bular loyihani amalga oshiruvchi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firma xarajatlariga kirsa-da, mamlakat xarajatlariga kirmaydi va iqtisodiy tahlildan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chiqarib tashlanadi.</w:t>
      </w:r>
    </w:p>
    <w:p w14:paraId="11128B0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Xarajatlar smetasi, odatda, ikki qismdan tashkil topadi:</w:t>
      </w:r>
    </w:p>
    <w:p w14:paraId="64731AC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Asosiy smeta.</w:t>
      </w:r>
    </w:p>
    <w:p w14:paraId="6E65239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Ko’zda tutilmagan xarajatlar qo’shimcha smetasi.</w:t>
      </w:r>
    </w:p>
    <w:p w14:paraId="4FC2A0C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Asosiy smeta dastlab loyihaning maqsadga muvofiqligini asoslash uchun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tuziladi va tuzatib boriladi. U tuzilish paytida loyihaning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ng aniq qiymatini aks</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ttiradi. Lekin u asosiy smeta tuzilgandan loyiha tugallangunga kadar ro’y beradigan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miqdor va baho o’zgarishlarini, masalan, etkazib berish, qurilish ishlarini tugallash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muddatlaridagi o’zgarishlarni hisobga olmaydi. Bu o’zgarishlar ko’zda tutilmagan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xarajatlar qo’shimcha smetasida hisobga olinadi. Har ikki smetani o’z ichiga olgan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xarajatlarning to’liq smetasi loyihaning yakuniy qiymatini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ng aniq baholaydi.</w:t>
      </w:r>
    </w:p>
    <w:p w14:paraId="20D38DC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Qo’shimcha smeta loyiha xarakteriga bog’liq va loyihaning har bir asosiy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komponenti uchun alohida tuziladi.</w:t>
      </w:r>
    </w:p>
    <w:p w14:paraId="5A1B761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b/>
          <w:sz w:val="28"/>
          <w:szCs w:val="28"/>
          <w:lang w:val="en-US"/>
        </w:rPr>
        <w:t>Fizik ko’rsatkichlarning ko’zda tutilmagan o’zgarishi</w:t>
      </w:r>
      <w:r>
        <w:rPr>
          <w:rFonts w:ascii="Times New Roman" w:hAnsi="Times New Roman" w:eastAsia="LiberationSerif-Bold" w:cs="Times New Roman"/>
          <w:sz w:val="28"/>
          <w:szCs w:val="28"/>
          <w:lang w:val="en-US"/>
        </w:rPr>
        <w:t>. Sotib olinadigan</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uskunalar soni va turida, bajariladigan ishlar hajmi yoki loyihani amalga oshirish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usullarida bo’ladigan o’zgarishlar tufayli loyiha xarajatlarining o’zgarishi fizik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ko’rsatkichlarning ko’zda tutilmagan o’zgarishi zahirasida aks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tadi. Bunday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o’zgarishlar miqdori va xarakterini doim ham oldindan ko’rib bo’lmaydi. Tabiiy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hodisalar, sel, bo’ron, qurg’oqchilik, er qimirlashlari ko’zda tutilmagan shunday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hodisalarga misol bo’la oladi va ularda hech qaysi loyiha to’liq ximoyalanmagan.</w:t>
      </w:r>
    </w:p>
    <w:p w14:paraId="7A4E355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 xml:space="preserve">Bu o’zgarishlarni aks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ttiruvchi zahiralar turli loyihalarda turlicha bo’ladi.</w:t>
      </w:r>
      <w:r>
        <w:rPr>
          <w:rFonts w:ascii="Times New Roman" w:hAnsi="Times New Roman" w:eastAsia="LiberationSerif-Bold" w:cs="Times New Roman"/>
          <w:sz w:val="28"/>
          <w:szCs w:val="28"/>
          <w:lang w:val="uz-Cyrl-UZ"/>
        </w:rPr>
        <w:t xml:space="preserve"> (Masalan, fuqaro-muhandislik inshootlari uchun material va xom ashyo etkazib berish hollariga nisbatan yuqoriroq). Bunday ko’zda tutilmagan xarajatlar zahiralarining Jahon banki tomonidan qabul qilingan darajalari quyidagicha:</w:t>
      </w:r>
    </w:p>
    <w:p w14:paraId="71A23AB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loyihalarda doimiy foydalaniladigan uskuna turlari uchun yoki asfal’t yotqizish kabi engil aniqlanmaydigan ish turlari uchun 5%;</w:t>
      </w:r>
    </w:p>
    <w:p w14:paraId="69E4FD0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takrorlanib turuvchi va oldindan ko’rsa bo’ladigan noaniqlik omillariga ega bo’lgan umumiy fuqaro qurilishi uchun 10%, masalan, binolar, elektr uzatish liniyalari, truboprovodlar, tekis erda yo’l yotqizish ishlari uchun;</w:t>
      </w:r>
    </w:p>
    <w:p w14:paraId="159A8EA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 qayta ishlash korxonalari, noqulay bino va muhandislik inshootlari, kichik sug’orish va drenaj hamda tug’onlar qurilishi uchun 15%.</w:t>
      </w:r>
    </w:p>
    <w:p w14:paraId="7A3D4D9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Agar fizik ko’rsatkichlarni ko’zda tutilmagan o’zgarishi zahiralari summasi 15-20% dan oshib ketsa loyiha rejasini takomillashtirish hamda (loyiha bo’yicha shartnomalar tuzilgunga qadar) noaniqliklarni kamaytirish uchun vaziyatni joyning o’zida qo’shimcha o’rganish zarur.</w:t>
      </w:r>
    </w:p>
    <w:p w14:paraId="5AB3EB57">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b/>
          <w:sz w:val="28"/>
          <w:szCs w:val="28"/>
          <w:lang w:val="uz-Cyrl-UZ"/>
        </w:rPr>
        <w:t>Ko’zda tutilmagan baho o’zgarishlari</w:t>
      </w:r>
      <w:r>
        <w:rPr>
          <w:rFonts w:ascii="Times New Roman" w:hAnsi="Times New Roman" w:eastAsia="LiberationSerif-Bold" w:cs="Times New Roman"/>
          <w:sz w:val="28"/>
          <w:szCs w:val="28"/>
          <w:lang w:val="uz-Cyrl-UZ"/>
        </w:rPr>
        <w:t>. Bahoning ko’zda tutilmagan o’zgarishi bilan bog’liq tuzatishlar asosiy smeta tuzilganidan so’ng loyihaning alohida komponentlari uchun baholar o’zgarishi tufayli loyiha qiymatining mumkin bo’lgan o’zgarishini aks ettiradi. Bunday ko’zda tutilmagan xarajatlar valyuta kursi o’zgarishini hisobga olish uchun milliy va xorijiy valyutalarda alohida-alohida hisoblanadi. Ko’zda tutilmagan baho o’zgarishlari loyihaning moliyalashtirishga bo’lgan ehtiyojini tahlil etishda foydalanilsa-da, loyiha maqsadga muvofiqligini aniqlash uchun o’tkaziladigan iqtisodiy va moliyaviy tahlilda qo’llanilmaydi, chunki bunday tahlillar barqaror baholarga asoslanadi. Ko’zda tutilmagan baho o’zgarishlarining vaziyatga mos keluvchi darajasini aniqlash uchun ikki omilni ko’rib chiqish zarur:</w:t>
      </w:r>
    </w:p>
    <w:p w14:paraId="4AB6221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1. Loyihani amalga oshirish muddatlarida mamlakat ichida va jahonda kutilayotgan inflyatsiya darajalari.</w:t>
      </w:r>
    </w:p>
    <w:p w14:paraId="70EFC65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2. Umumiy inflyatsiya tendentsiyalaridan alohida turdagi ishlar va xizmatlarga bo’lgan ichki va tashqi baholar farqining kutilayotgan darajasi (masalan, yirik loyihaning mahalliy resurslar bahosiga potentsial ta’siri tufayli mahalliy qurilish sanoatida talab va taklif nisbatining o’zgarishi oqibatida.</w:t>
      </w:r>
    </w:p>
    <w:p w14:paraId="7A679FC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Agar loyiha bo’yicha tuzilgan shartnomalarda bajarilgan ishlar yoki uskunalar bahosini indeksatsiya qilishning ma’lum usullari kelishib olingan bo’lsa, bunday holat zahira miqdorini aniqlashda hisobga olinishi kerak. Ko’zda tutilmagan baho o’zgarishlari zahirasi har bir yil uchun hisoblanib loyihani amal qilish muddati bo’yicha qo’shib chiqiladi.</w:t>
      </w:r>
    </w:p>
    <w:p w14:paraId="7BD77894">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24F71CC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7.5. Loyihani amalga oshirish ishlari grafigi</w:t>
      </w:r>
    </w:p>
    <w:p w14:paraId="6A27B81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317886F7">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Loyihaning texnik jihatlarini ishlab chiqish hech bo’lmaganda loyihani amalga oshirishning kim, nimani va qachon bajarilishi ko’rsatib o’tilgan dastlabki rejasini tuzishni o’z ichiga olishi kerak. Bunday faoliyat ba’zida tarmoqli tahlil yoki tanqidiy yo’l uslubida tahlil deb yuritiladi. Oxirgi atama dasturlarni baholash va izohlash uslubi kabi murakkab tizimlarni o’z ichiga oladi. Bu tizimlar bir tadbir boshlanishidan oldin tugallanishi kerak bo’lgan yoki belgilangan muddatda tugallanmay qolishi butun loyiha bo’yicha ishlarning kechikishiga olib kelishi mumkin bo’lgan tadbirlarni aniqlashga mo’ljallangan. Bu tizimlar yirik fuqaro inshootlarini o’z ichiga olgan loyihalarni rejalashtirishning samarali vositasi bo’lsa-da, boshqa loyihalar uchun tadbirlar ketma-ketligini belgilovchi va izohlar bilan to’ldirilgan oddiy kalendar rejalari ham etarli hisoblanadi. Har ikkala holda ham o’z vaqtida bajarilishi loyihani amalga oshirishga ta’sir ko’rsatuvchi tadbirlarni aniqlash va ularni tugallashga etarli vaqtni ta’minlash kerak. Bu tadbirlarni etarli darajada rejalashtirmaslik oqibatida loyihani rejalashtirish muddatlari cho’zilib ketishi mumkin.</w:t>
      </w:r>
    </w:p>
    <w:p w14:paraId="65875CB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 amalga oshirish bo’yicha ishlar grafigi real, ya’ni tashkilot va shaxslarning imkoniyatlari darajasiga asoslangan bo’lishi shart. Haddan ortiq optimistik grafiklardan foydalanish salbiy natijalarga, operativ rejalashtirishning izdan chiqishi, ishlar rejadan orqada qolganda turli tashkilotlar o’rtasida kelishmovchiliklarga olib keladi. Bundan tashqari ishlar grafigi noreal tuzilganda iqtisodiy va moliyaviy tahlilda noto’g’ri xulosalarga kelishga sabab bo’ladi.</w:t>
      </w:r>
    </w:p>
    <w:p w14:paraId="7B238B85">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0CBA7A4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Qisqacha hulosalar</w:t>
      </w:r>
    </w:p>
    <w:p w14:paraId="658B4F2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06EAF6A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maqsadi nuqtai nazaridan eng qulay bo’lgan texnologiyalarni, loyihadan manfaat ko’rishi mumkin bo’lgan aholi kontengenti, mahalliy sharoitlar, kapital, xom ashyo va ishchi kuchidan foydalanish imkoniyatlari va ular bahosi, bozor hajmi, shuningdek loyihani rejalashtirish hamda amalga oshirish imkoniyatlarini aniqlash texnik tahlilning vazifasi hisoblanadi va uning mohiyatini tashkil etadi.</w:t>
      </w:r>
    </w:p>
    <w:p w14:paraId="7B4303C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Loyihalarni ishlab chiqishning texnik muammolardan ko’pchiligi ko’pgina loyihalarga xos bo’lib bularga mulk shakli, loyiha ko’lami, amalga oshirish muddatlari, texnologiyalarni tanlash kabilar kiradi.</w:t>
      </w:r>
    </w:p>
    <w:p w14:paraId="4FB2694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Loyihalar davlat sektorida yoki xususiy sektorda amalga oshirilishi loyiha ko’lamiga, texnik rejasiga ta’sir ko’rsatadi.</w:t>
      </w:r>
    </w:p>
    <w:p w14:paraId="751FE8E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ko’lamini aniqlashda loyiha mahsulotiga talab, tashkilotlarning imkoniyatlari, resurslarning mavjudligi kabilar mezon bo’lib xizmat qiladi.</w:t>
      </w:r>
    </w:p>
    <w:p w14:paraId="09FE597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Sof keltirilgan qiymat NPV eng yuqori bo’lishini ta’minlaydigan ko’lam loyiha uchun optimal hisoblanadi. Ko’p komponentli loyihalarda o’zaro bir-birining o’rnini bosadigan, bir-birining o’rnini to’ldiradigan va mustaqil komponentlar o’zaro farqlanadi.</w:t>
      </w:r>
    </w:p>
    <w:p w14:paraId="3166FE5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uchun NPVni maksimallashtiradigan joy eng yaxshi hisoblanadi.</w:t>
      </w:r>
    </w:p>
    <w:p w14:paraId="3A9C1F6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ob’ekti yoki xom ashyo bazasiga, yoki iste’molchilarga yoki zarur infratuzilmalarga yaqin joyga quriladi.</w:t>
      </w:r>
    </w:p>
    <w:p w14:paraId="2E72D04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xarajatlari asosiy va qo’shimcha smetada aks ettiriladi. Asosiy smetada loyiha tuzilgan vaqtdagi uning qiymati, baho va miqdoriy o’zgarishlar ta’sirida xarajatlardagi o’zgarishlar esa qo’shimcha smetada aks ettiriladi.</w:t>
      </w:r>
    </w:p>
    <w:p w14:paraId="28F3AE66">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2797E8F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Nazorat va mulohaza savollari</w:t>
      </w:r>
    </w:p>
    <w:p w14:paraId="472DF7D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7B9A6E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1. Loyihalarni texnik tahlil qilishning vazifalarini tushuntirib bering.</w:t>
      </w:r>
    </w:p>
    <w:p w14:paraId="51D63213">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 Ko’p komponentli loyihalarga misol keltiring. Ko’p komponentli loyihalarda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ko’lami qanday aniqlanadi?</w:t>
      </w:r>
    </w:p>
    <w:p w14:paraId="01E4EED7">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Bir vaqtning o’zida bir-birining o’rnini bosuvchi va daromadlarga ko’ra bir-birining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o’rnini to’ldiruvchi komponentlarda umumiy NPV mustaqil NPV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yig’indisidan kattami yoki kichikmi?</w:t>
      </w:r>
    </w:p>
    <w:p w14:paraId="5FA89AA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 Loyihani joylashtirish o’rni qaysi mezonlarga ko’ra tanlanadi?</w:t>
      </w:r>
    </w:p>
    <w:p w14:paraId="48A345F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5. Ko’zda tutilmagan baho o’zgarishlari loyihaga qanday ta’sir ko’rsatadi?</w:t>
      </w:r>
    </w:p>
    <w:p w14:paraId="54B1889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6. Loyihani amalga oshirish ishlari grafigining ahamiyatini ochib bering.</w:t>
      </w:r>
    </w:p>
    <w:p w14:paraId="7CE334B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7. Texnik va texnologik jihatdan muqobil variantlar qaysilar?</w:t>
      </w:r>
    </w:p>
    <w:p w14:paraId="22EBBA5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8. Loyihani joylashtirish o’rni bo’yicha muqobil variantlar qaysilar?</w:t>
      </w:r>
    </w:p>
    <w:p w14:paraId="48BABAF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9. Loyiha hajmi qancha?</w:t>
      </w:r>
    </w:p>
    <w:p w14:paraId="4D35622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10. Loyihani amalga oshirish muddatlari qancha?</w:t>
      </w:r>
    </w:p>
    <w:p w14:paraId="5C32FDCA">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20DA451C">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3679FDC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7CEE3C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Kolmo’kova T.S. «Investitsionno’y analiz»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Uchebnoe posobie M: INFRA-M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w:t>
      </w:r>
      <w:r>
        <w:rPr>
          <w:rFonts w:ascii="Times New Roman" w:hAnsi="Times New Roman" w:eastAsia="LiberationSerif-Bold" w:cs="Times New Roman"/>
          <w:sz w:val="28"/>
          <w:szCs w:val="28"/>
          <w:lang w:val="uz-Cyrl-UZ"/>
        </w:rPr>
        <w:t>18</w:t>
      </w:r>
      <w:r>
        <w:rPr>
          <w:rFonts w:ascii="Times New Roman" w:hAnsi="Times New Roman" w:eastAsia="LiberationSerif-Bold" w:cs="Times New Roman"/>
          <w:sz w:val="28"/>
          <w:szCs w:val="28"/>
          <w:lang w:val="en-US"/>
        </w:rPr>
        <w:t>.-202-230 str. Uchebniki ekonomicheskogo fakulteta MGU im.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Lomonosova.</w:t>
      </w:r>
    </w:p>
    <w:p w14:paraId="28C849C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A.E.Ishmuxamedov, M.S.</w:t>
      </w:r>
      <w:r>
        <w:rPr>
          <w:rFonts w:ascii="Times New Roman" w:hAnsi="Times New Roman" w:eastAsia="LiberationSerif-Bold" w:cs="Times New Roman"/>
          <w:sz w:val="28"/>
          <w:szCs w:val="28"/>
          <w:lang w:val="uz-Cyrl-UZ"/>
        </w:rPr>
        <w:t>Q</w:t>
      </w:r>
      <w:r>
        <w:rPr>
          <w:rFonts w:ascii="Times New Roman" w:hAnsi="Times New Roman" w:eastAsia="LiberationSerif-Bold" w:cs="Times New Roman"/>
          <w:sz w:val="28"/>
          <w:szCs w:val="28"/>
          <w:lang w:val="en-US"/>
        </w:rPr>
        <w:t>osimov, Z.A.Djumaev, G.Ya.Muxamedjanova.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tahlili. T: TDIU. 20</w:t>
      </w:r>
      <w:r>
        <w:rPr>
          <w:rFonts w:ascii="Times New Roman" w:hAnsi="Times New Roman" w:eastAsia="LiberationSerif-Bold" w:cs="Times New Roman"/>
          <w:sz w:val="28"/>
          <w:szCs w:val="28"/>
          <w:lang w:val="uz-Cyrl-UZ"/>
        </w:rPr>
        <w:t>17</w:t>
      </w:r>
      <w:r>
        <w:rPr>
          <w:rFonts w:ascii="Times New Roman" w:hAnsi="Times New Roman" w:eastAsia="LiberationSerif-Bold" w:cs="Times New Roman"/>
          <w:sz w:val="28"/>
          <w:szCs w:val="28"/>
          <w:lang w:val="en-US"/>
        </w:rPr>
        <w:t>.-137-145 b.</w:t>
      </w:r>
    </w:p>
    <w:p w14:paraId="2B68F1D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Baldin K.V. Investitsii i innovatsii. Uchebnoe posobie. g’ K.V. Baldin, I.I.Perederyaev i dr.-2- izd- M: Izdatelskoe–torgovaya korporatsiya «Dashkov i 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-145-238 s.</w:t>
      </w:r>
    </w:p>
    <w:p w14:paraId="7020B79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Nikolaev M.A. Investitsionnaya deyatelnost: Uchebnoe posobie g’ M.A.Nikolaev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-Finanso’ i statistika, INFRA. M-20</w:t>
      </w:r>
      <w:r>
        <w:rPr>
          <w:rFonts w:ascii="Times New Roman" w:hAnsi="Times New Roman" w:eastAsia="LiberationSerif-Bold" w:cs="Times New Roman"/>
          <w:sz w:val="28"/>
          <w:szCs w:val="28"/>
          <w:lang w:val="uz-Cyrl-UZ"/>
        </w:rPr>
        <w:t xml:space="preserve">18 </w:t>
      </w:r>
      <w:r>
        <w:rPr>
          <w:rFonts w:ascii="Times New Roman" w:hAnsi="Times New Roman" w:eastAsia="LiberationSerif-Bold" w:cs="Times New Roman"/>
          <w:sz w:val="28"/>
          <w:szCs w:val="28"/>
          <w:lang w:val="en-US"/>
        </w:rPr>
        <w:t>-245-336 str.</w:t>
      </w:r>
    </w:p>
    <w:p w14:paraId="23BB513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5.</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Tyurina A.V. Investitsii. Praktikum. Uchebnoe posobie. g’ A.V. Tyurina-M:KNORUS.20</w:t>
      </w:r>
      <w:r>
        <w:rPr>
          <w:rFonts w:ascii="Times New Roman" w:hAnsi="Times New Roman" w:eastAsia="LiberationSerif-Bold" w:cs="Times New Roman"/>
          <w:sz w:val="28"/>
          <w:szCs w:val="28"/>
          <w:lang w:val="uz-Cyrl-UZ"/>
        </w:rPr>
        <w:t>18</w:t>
      </w:r>
      <w:r>
        <w:rPr>
          <w:rFonts w:ascii="Times New Roman" w:hAnsi="Times New Roman" w:eastAsia="LiberationSerif-Bold" w:cs="Times New Roman"/>
          <w:sz w:val="28"/>
          <w:szCs w:val="28"/>
          <w:lang w:val="en-US"/>
        </w:rPr>
        <w:t xml:space="preserve">.- </w:t>
      </w:r>
      <w:r>
        <w:rPr>
          <w:rFonts w:ascii="Times New Roman" w:hAnsi="Times New Roman" w:eastAsia="LiberationSerif-Bold" w:cs="Times New Roman"/>
          <w:sz w:val="28"/>
          <w:szCs w:val="28"/>
        </w:rPr>
        <w:t>178-208 str</w:t>
      </w:r>
      <w:r>
        <w:rPr>
          <w:rFonts w:ascii="Times New Roman" w:hAnsi="Times New Roman" w:eastAsia="LiberationSerif-Bold" w:cs="Times New Roman"/>
          <w:sz w:val="28"/>
          <w:szCs w:val="28"/>
          <w:lang w:val="uz-Cyrl-UZ"/>
        </w:rPr>
        <w:t>.</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1"/>
    <w:family w:val="auto"/>
    <w:pitch w:val="variable"/>
    <w:sig w:usb0="E00006FF" w:usb1="420024FF" w:usb2="02000000" w:usb3="00000000" w:csb0="2000019F" w:csb1="00000000"/>
  </w:font>
  <w:font w:name="@SimSun">
    <w:panose1 w:val="02010600030101010101"/>
    <w:charset w:val="86"/>
    <w:family w:val="auto"/>
    <w:pitch w:val="variable"/>
    <w:sig w:usb0="000000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CC7BF">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334EA0"/>
    <w:rsid w:val="00160634"/>
    <w:rsid w:val="002D792D"/>
    <w:rsid w:val="00334EA0"/>
    <w:rsid w:val="00451DEF"/>
    <w:rsid w:val="00775977"/>
    <w:rsid w:val="00846912"/>
    <w:rsid w:val="14744C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11</Pages>
  <Words>3578</Words>
  <Characters>20395</Characters>
  <Lines>169</Lines>
  <Paragraphs>47</Paragraphs>
  <TotalTime>0</TotalTime>
  <ScaleCrop>false</ScaleCrop>
  <LinksUpToDate>false</LinksUpToDate>
  <CharactersWithSpaces>23926</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2020-04-10T07:24:00Z</dcterms:created>
  <dc:creator>Laliga</dc:creator>
  <cp:lastModifiedBy>User</cp:lastModifiedBy>
  <dcterms:modified xsi:type="dcterms:W3CDTF">2024-09-10T18:47:47Z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E3D1F5A1AB454E0883F1CC2357E18D7A_12</vt:lpwstr>
  </property>
</Properties>
</file>